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6C22" w:rsidRDefault="00E26C22" w:rsidP="00E26C22">
      <w:pPr>
        <w:widowControl/>
        <w:snapToGrid w:val="0"/>
        <w:spacing w:line="560" w:lineRule="exact"/>
        <w:ind w:firstLineChars="149" w:firstLine="658"/>
        <w:jc w:val="center"/>
        <w:rPr>
          <w:rFonts w:ascii="宋体" w:hAnsi="宋体" w:cs="宋体"/>
          <w:b/>
          <w:color w:val="000000"/>
          <w:kern w:val="0"/>
          <w:sz w:val="44"/>
          <w:szCs w:val="44"/>
        </w:rPr>
      </w:pPr>
      <w:r>
        <w:rPr>
          <w:rFonts w:ascii="宋体" w:hAnsi="宋体" w:cs="宋体" w:hint="eastAsia"/>
          <w:b/>
          <w:color w:val="000000"/>
          <w:kern w:val="0"/>
          <w:sz w:val="44"/>
          <w:szCs w:val="44"/>
        </w:rPr>
        <w:t>苏州工业园区煤热价格联动机制</w:t>
      </w:r>
    </w:p>
    <w:p w:rsidR="00E26C22" w:rsidRDefault="002C4213" w:rsidP="00E26C22">
      <w:pPr>
        <w:widowControl/>
        <w:snapToGrid w:val="0"/>
        <w:spacing w:line="560" w:lineRule="exact"/>
        <w:ind w:firstLineChars="149" w:firstLine="477"/>
        <w:jc w:val="center"/>
        <w:rPr>
          <w:rFonts w:ascii="楷体" w:eastAsia="楷体" w:hAnsi="楷体" w:cs="宋体"/>
          <w:color w:val="000000"/>
          <w:kern w:val="0"/>
          <w:sz w:val="32"/>
          <w:szCs w:val="32"/>
        </w:rPr>
      </w:pPr>
      <w:r>
        <w:rPr>
          <w:rFonts w:ascii="楷体" w:eastAsia="楷体" w:hAnsi="楷体" w:cs="宋体" w:hint="eastAsia"/>
          <w:color w:val="000000"/>
          <w:kern w:val="0"/>
          <w:sz w:val="32"/>
          <w:szCs w:val="32"/>
        </w:rPr>
        <w:t>（</w:t>
      </w:r>
      <w:r>
        <w:rPr>
          <w:rFonts w:ascii="楷体" w:eastAsia="楷体" w:hAnsi="楷体" w:cs="宋体"/>
          <w:color w:val="000000"/>
          <w:kern w:val="0"/>
          <w:sz w:val="32"/>
          <w:szCs w:val="32"/>
        </w:rPr>
        <w:t>征求意见</w:t>
      </w:r>
      <w:r w:rsidR="00E26C22">
        <w:rPr>
          <w:rFonts w:ascii="楷体" w:eastAsia="楷体" w:hAnsi="楷体" w:cs="宋体" w:hint="eastAsia"/>
          <w:color w:val="000000"/>
          <w:kern w:val="0"/>
          <w:sz w:val="32"/>
          <w:szCs w:val="32"/>
        </w:rPr>
        <w:t>稿）</w:t>
      </w:r>
    </w:p>
    <w:p w:rsidR="00E26C22" w:rsidRDefault="00E26C22" w:rsidP="00E26C22">
      <w:pPr>
        <w:widowControl/>
        <w:snapToGrid w:val="0"/>
        <w:spacing w:line="560" w:lineRule="exact"/>
        <w:ind w:firstLineChars="200" w:firstLine="883"/>
        <w:jc w:val="center"/>
        <w:rPr>
          <w:rFonts w:ascii="宋体" w:hAnsi="宋体" w:cs="宋体"/>
          <w:b/>
          <w:color w:val="000000"/>
          <w:kern w:val="0"/>
          <w:sz w:val="44"/>
          <w:szCs w:val="44"/>
        </w:rPr>
      </w:pPr>
    </w:p>
    <w:p w:rsidR="00E26C22" w:rsidRDefault="00E26C22" w:rsidP="00E26C22">
      <w:pPr>
        <w:widowControl/>
        <w:snapToGrid w:val="0"/>
        <w:spacing w:line="560" w:lineRule="exact"/>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第一条</w:t>
      </w:r>
      <w:r>
        <w:rPr>
          <w:rFonts w:ascii="仿宋" w:eastAsia="仿宋" w:hAnsi="仿宋" w:cs="宋体" w:hint="eastAsia"/>
          <w:color w:val="000000"/>
          <w:kern w:val="0"/>
          <w:sz w:val="32"/>
          <w:szCs w:val="32"/>
        </w:rPr>
        <w:t xml:space="preserve">  为理顺煤热价格关系，规范蒸汽价格管理，推进节能环保政策的落实，根据《中华人民共和国价格法》、《城市供热价格管理暂行办法》等文件精神，结合园区实际情况，制定本机制。</w:t>
      </w:r>
    </w:p>
    <w:p w:rsidR="00E26C22" w:rsidRDefault="00E26C22" w:rsidP="00E26C22">
      <w:pPr>
        <w:widowControl/>
        <w:snapToGrid w:val="0"/>
        <w:spacing w:line="560" w:lineRule="exact"/>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第二条</w:t>
      </w:r>
      <w:r>
        <w:rPr>
          <w:rFonts w:ascii="仿宋" w:eastAsia="仿宋" w:hAnsi="仿宋" w:cs="宋体" w:hint="eastAsia"/>
          <w:color w:val="000000"/>
          <w:kern w:val="0"/>
          <w:sz w:val="32"/>
          <w:szCs w:val="32"/>
        </w:rPr>
        <w:t xml:space="preserve">  热电联产企业生产供应的蒸汽销售价格与市场煤炭价格实行联动机制。（以下简称煤热联动）</w:t>
      </w:r>
    </w:p>
    <w:p w:rsidR="00E26C22" w:rsidRDefault="00E26C22" w:rsidP="00E26C22">
      <w:pPr>
        <w:widowControl/>
        <w:snapToGrid w:val="0"/>
        <w:spacing w:line="560" w:lineRule="exact"/>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第三条</w:t>
      </w:r>
      <w:r>
        <w:rPr>
          <w:rFonts w:ascii="仿宋" w:eastAsia="仿宋" w:hAnsi="仿宋" w:cs="宋体" w:hint="eastAsia"/>
          <w:color w:val="000000"/>
          <w:kern w:val="0"/>
          <w:sz w:val="32"/>
          <w:szCs w:val="32"/>
        </w:rPr>
        <w:t xml:space="preserve">  煤热价格联动以有利于经济发展为前提，紧密结合实际，参照历史形成价格和当前价格及煤热成本，兼顾供用双方利益。</w:t>
      </w:r>
    </w:p>
    <w:p w:rsidR="00E26C22" w:rsidRDefault="00E26C22" w:rsidP="00E26C22">
      <w:pPr>
        <w:widowControl/>
        <w:snapToGrid w:val="0"/>
        <w:spacing w:line="560" w:lineRule="exact"/>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第四条</w:t>
      </w:r>
      <w:r>
        <w:rPr>
          <w:rFonts w:ascii="仿宋" w:eastAsia="仿宋" w:hAnsi="仿宋" w:cs="宋体" w:hint="eastAsia"/>
          <w:color w:val="000000"/>
          <w:kern w:val="0"/>
          <w:sz w:val="32"/>
          <w:szCs w:val="32"/>
        </w:rPr>
        <w:t xml:space="preserve">  煤热价格联动的基准价格。以煤炭（热值5500大卡，下同）每吨1064元时的价格作为基准价格，与此对应的蒸汽基准价格为每吨261.6元。</w:t>
      </w:r>
    </w:p>
    <w:p w:rsidR="00E26C22" w:rsidRDefault="00E26C22" w:rsidP="00E26C22">
      <w:pPr>
        <w:widowControl/>
        <w:snapToGrid w:val="0"/>
        <w:spacing w:line="560" w:lineRule="exact"/>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第五条</w:t>
      </w:r>
      <w:r>
        <w:rPr>
          <w:rFonts w:ascii="仿宋" w:eastAsia="仿宋" w:hAnsi="仿宋" w:cs="宋体" w:hint="eastAsia"/>
          <w:color w:val="000000"/>
          <w:kern w:val="0"/>
          <w:sz w:val="32"/>
          <w:szCs w:val="32"/>
        </w:rPr>
        <w:t xml:space="preserve">  煤热价格联动，1吨煤炭生产6.4吨蒸汽；当煤炭价格高于基准价格时，煤炭价格变动额的75%通过调整蒸汽价格疏导，25%由热电企业自行消化；当煤炭价格低于基准价格时，煤炭价格变动额全部通过调整蒸汽价格疏导。</w:t>
      </w:r>
    </w:p>
    <w:p w:rsidR="00E26C22" w:rsidRDefault="00E26C22" w:rsidP="00E26C22">
      <w:pPr>
        <w:spacing w:line="500" w:lineRule="atLeast"/>
        <w:ind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第六条</w:t>
      </w:r>
      <w:r>
        <w:rPr>
          <w:rFonts w:ascii="仿宋" w:eastAsia="仿宋" w:hAnsi="仿宋" w:cs="宋体" w:hint="eastAsia"/>
          <w:color w:val="000000"/>
          <w:kern w:val="0"/>
          <w:sz w:val="32"/>
          <w:szCs w:val="32"/>
        </w:rPr>
        <w:t xml:space="preserve"> 煤热联动原则上以一个季度为限，当每季度煤炭平均价格变化达到或超过50元后，相应调整蒸汽销售价格。</w:t>
      </w:r>
    </w:p>
    <w:p w:rsidR="00E26C22" w:rsidRDefault="00E26C22" w:rsidP="00E26C22">
      <w:pPr>
        <w:spacing w:line="500" w:lineRule="atLeast"/>
        <w:ind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 xml:space="preserve">第七条 </w:t>
      </w:r>
      <w:r>
        <w:rPr>
          <w:rFonts w:ascii="仿宋" w:eastAsia="仿宋" w:hAnsi="仿宋" w:cs="宋体" w:hint="eastAsia"/>
          <w:color w:val="000000"/>
          <w:kern w:val="0"/>
          <w:sz w:val="32"/>
          <w:szCs w:val="32"/>
        </w:rPr>
        <w:t>煤炭价格短时内变化过大时，应及时启动联动机制。煤炭平均价格较上一次煤热联动核定的煤炭价格每月</w:t>
      </w:r>
      <w:r>
        <w:rPr>
          <w:rFonts w:ascii="仿宋" w:eastAsia="仿宋" w:hAnsi="仿宋" w:cs="宋体" w:hint="eastAsia"/>
          <w:color w:val="000000"/>
          <w:kern w:val="0"/>
          <w:sz w:val="32"/>
          <w:szCs w:val="32"/>
        </w:rPr>
        <w:lastRenderedPageBreak/>
        <w:t>变化超过每吨100元时，应于次月调整蒸汽销售价格。</w:t>
      </w:r>
    </w:p>
    <w:p w:rsidR="00E26C22" w:rsidRDefault="00E26C22" w:rsidP="00E26C22">
      <w:pPr>
        <w:spacing w:line="500" w:lineRule="atLeast"/>
        <w:ind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第八条</w:t>
      </w:r>
      <w:r>
        <w:rPr>
          <w:rFonts w:ascii="仿宋" w:eastAsia="仿宋" w:hAnsi="仿宋" w:cs="宋体" w:hint="eastAsia"/>
          <w:color w:val="000000"/>
          <w:kern w:val="0"/>
          <w:sz w:val="32"/>
          <w:szCs w:val="32"/>
        </w:rPr>
        <w:t xml:space="preserve"> 煤炭价格原则上以具有公允性的动力煤价格指数为依据，必要时参照供热企业实物煤到厂平均价综合考虑。</w:t>
      </w:r>
    </w:p>
    <w:p w:rsidR="00E26C22" w:rsidRDefault="00E26C22" w:rsidP="00E26C22">
      <w:pPr>
        <w:spacing w:line="500" w:lineRule="atLeast"/>
        <w:rPr>
          <w:rFonts w:ascii="仿宋" w:eastAsia="仿宋" w:hAnsi="仿宋" w:cs="宋体"/>
          <w:color w:val="000000"/>
          <w:kern w:val="0"/>
          <w:sz w:val="32"/>
          <w:szCs w:val="32"/>
        </w:rPr>
      </w:pPr>
      <w:r>
        <w:rPr>
          <w:rFonts w:ascii="Calibri" w:eastAsia="仿宋" w:hAnsi="Calibri" w:cs="Calibri"/>
          <w:color w:val="000000"/>
          <w:kern w:val="0"/>
          <w:sz w:val="32"/>
          <w:szCs w:val="32"/>
        </w:rPr>
        <w:t xml:space="preserve">    </w:t>
      </w:r>
      <w:r>
        <w:rPr>
          <w:rFonts w:ascii="Calibri" w:eastAsia="仿宋" w:hAnsi="Calibri" w:cs="Calibri"/>
          <w:b/>
          <w:color w:val="000000"/>
          <w:kern w:val="0"/>
          <w:sz w:val="32"/>
          <w:szCs w:val="32"/>
        </w:rPr>
        <w:t> </w:t>
      </w:r>
      <w:r>
        <w:rPr>
          <w:rFonts w:ascii="仿宋" w:eastAsia="仿宋" w:hAnsi="仿宋" w:cs="宋体" w:hint="eastAsia"/>
          <w:b/>
          <w:color w:val="000000"/>
          <w:kern w:val="0"/>
          <w:sz w:val="32"/>
          <w:szCs w:val="32"/>
        </w:rPr>
        <w:t xml:space="preserve">第九条 </w:t>
      </w:r>
      <w:r>
        <w:rPr>
          <w:rFonts w:ascii="仿宋" w:eastAsia="仿宋" w:hAnsi="仿宋" w:cs="宋体" w:hint="eastAsia"/>
          <w:color w:val="000000"/>
          <w:kern w:val="0"/>
          <w:sz w:val="32"/>
          <w:szCs w:val="32"/>
        </w:rPr>
        <w:t>经发委根据上述规定，在每季度结束前10天内公布下季度煤热执行价格。</w:t>
      </w:r>
    </w:p>
    <w:p w:rsidR="00E26C22" w:rsidRDefault="00E26C22" w:rsidP="00E26C22">
      <w:pPr>
        <w:adjustRightInd w:val="0"/>
        <w:snapToGrid w:val="0"/>
        <w:spacing w:line="560" w:lineRule="exact"/>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 xml:space="preserve">第十条 </w:t>
      </w:r>
      <w:r>
        <w:rPr>
          <w:rFonts w:ascii="仿宋" w:eastAsia="仿宋" w:hAnsi="仿宋" w:cs="宋体" w:hint="eastAsia"/>
          <w:color w:val="000000"/>
          <w:kern w:val="0"/>
          <w:sz w:val="32"/>
          <w:szCs w:val="32"/>
        </w:rPr>
        <w:t>本机制适用于园区煤热企业和其用户。如上级有新规定时，按新规定执行。</w:t>
      </w:r>
    </w:p>
    <w:p w:rsidR="00E26C22" w:rsidRDefault="00E26C22" w:rsidP="00E26C22">
      <w:pPr>
        <w:widowControl/>
        <w:snapToGrid w:val="0"/>
        <w:spacing w:line="560" w:lineRule="exact"/>
        <w:ind w:firstLineChars="200" w:firstLine="643"/>
        <w:rPr>
          <w:rFonts w:ascii="仿宋" w:eastAsia="仿宋" w:hAnsi="仿宋" w:cs="宋体"/>
          <w:color w:val="000000"/>
          <w:kern w:val="0"/>
          <w:sz w:val="32"/>
          <w:szCs w:val="32"/>
        </w:rPr>
      </w:pPr>
      <w:r>
        <w:rPr>
          <w:rFonts w:ascii="仿宋" w:eastAsia="仿宋" w:hAnsi="仿宋" w:cs="宋体" w:hint="eastAsia"/>
          <w:b/>
          <w:color w:val="000000"/>
          <w:kern w:val="0"/>
          <w:sz w:val="32"/>
          <w:szCs w:val="32"/>
        </w:rPr>
        <w:t>第十一条</w:t>
      </w:r>
      <w:r>
        <w:rPr>
          <w:rFonts w:ascii="仿宋" w:eastAsia="仿宋" w:hAnsi="仿宋" w:cs="宋体" w:hint="eastAsia"/>
          <w:color w:val="000000"/>
          <w:kern w:val="0"/>
          <w:sz w:val="32"/>
          <w:szCs w:val="32"/>
        </w:rPr>
        <w:t xml:space="preserve"> </w:t>
      </w:r>
      <w:r w:rsidR="00940BF7">
        <w:rPr>
          <w:rFonts w:ascii="仿宋" w:eastAsia="仿宋" w:hAnsi="仿宋" w:cs="宋体" w:hint="eastAsia"/>
          <w:color w:val="000000"/>
          <w:kern w:val="0"/>
          <w:sz w:val="32"/>
          <w:szCs w:val="32"/>
        </w:rPr>
        <w:t>本机制由经发委负责解释</w:t>
      </w:r>
      <w:r w:rsidR="00940BF7">
        <w:rPr>
          <w:rFonts w:ascii="仿宋" w:eastAsia="仿宋" w:hAnsi="仿宋" w:cs="宋体"/>
          <w:color w:val="000000"/>
          <w:kern w:val="0"/>
          <w:sz w:val="32"/>
          <w:szCs w:val="32"/>
        </w:rPr>
        <w:t>。</w:t>
      </w:r>
      <w:bookmarkStart w:id="0" w:name="_GoBack"/>
      <w:bookmarkEnd w:id="0"/>
      <w:r w:rsidR="00940BF7">
        <w:rPr>
          <w:rFonts w:ascii="仿宋" w:eastAsia="仿宋" w:hAnsi="仿宋" w:cs="宋体"/>
          <w:color w:val="000000"/>
          <w:kern w:val="0"/>
          <w:sz w:val="32"/>
          <w:szCs w:val="32"/>
        </w:rPr>
        <w:t xml:space="preserve"> </w:t>
      </w:r>
    </w:p>
    <w:p w:rsidR="00E26C22" w:rsidRDefault="00E26C22" w:rsidP="00E26C22">
      <w:pPr>
        <w:widowControl/>
        <w:snapToGrid w:val="0"/>
        <w:spacing w:line="560" w:lineRule="exact"/>
        <w:ind w:firstLineChars="100" w:firstLine="320"/>
        <w:jc w:val="left"/>
        <w:rPr>
          <w:rFonts w:ascii="仿宋" w:eastAsia="仿宋" w:hAnsi="仿宋" w:cs="宋体"/>
          <w:color w:val="000000"/>
          <w:kern w:val="0"/>
          <w:sz w:val="32"/>
          <w:szCs w:val="32"/>
        </w:rPr>
      </w:pPr>
    </w:p>
    <w:p w:rsidR="00E26C22" w:rsidRDefault="00E26C22" w:rsidP="00E26C22">
      <w:pPr>
        <w:widowControl/>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br w:type="page"/>
      </w:r>
    </w:p>
    <w:p w:rsidR="00E26C22" w:rsidRDefault="00E26C22" w:rsidP="00E26C22">
      <w:pPr>
        <w:widowControl/>
        <w:snapToGrid w:val="0"/>
        <w:spacing w:line="560" w:lineRule="exact"/>
        <w:jc w:val="center"/>
        <w:rPr>
          <w:rFonts w:ascii="宋体" w:hAnsi="宋体" w:cs="宋体"/>
          <w:b/>
          <w:color w:val="000000"/>
          <w:kern w:val="0"/>
          <w:sz w:val="36"/>
          <w:szCs w:val="36"/>
        </w:rPr>
      </w:pPr>
      <w:r>
        <w:rPr>
          <w:rFonts w:ascii="宋体" w:hAnsi="宋体" w:cs="宋体" w:hint="eastAsia"/>
          <w:b/>
          <w:color w:val="000000"/>
          <w:kern w:val="0"/>
          <w:sz w:val="36"/>
          <w:szCs w:val="36"/>
        </w:rPr>
        <w:lastRenderedPageBreak/>
        <w:t>煤炭价格与蒸汽价格对应表</w:t>
      </w:r>
    </w:p>
    <w:p w:rsidR="00E26C22" w:rsidRDefault="00E26C22" w:rsidP="00E26C22">
      <w:pPr>
        <w:widowControl/>
        <w:snapToGrid w:val="0"/>
        <w:spacing w:line="560" w:lineRule="exact"/>
        <w:ind w:firstLineChars="100" w:firstLine="360"/>
        <w:jc w:val="left"/>
        <w:rPr>
          <w:rFonts w:ascii="宋体" w:eastAsiaTheme="minorEastAsia" w:hAnsi="宋体" w:cs="宋体"/>
          <w:b/>
          <w:color w:val="000000"/>
          <w:kern w:val="0"/>
          <w:sz w:val="36"/>
          <w:szCs w:val="36"/>
        </w:rPr>
      </w:pPr>
    </w:p>
    <w:tbl>
      <w:tblPr>
        <w:tblW w:w="7366" w:type="dxa"/>
        <w:jc w:val="center"/>
        <w:tblLook w:val="04A0" w:firstRow="1" w:lastRow="0" w:firstColumn="1" w:lastColumn="0" w:noHBand="0" w:noVBand="1"/>
      </w:tblPr>
      <w:tblGrid>
        <w:gridCol w:w="2830"/>
        <w:gridCol w:w="3089"/>
        <w:gridCol w:w="1447"/>
      </w:tblGrid>
      <w:tr w:rsidR="00E26C22" w:rsidTr="00E26C22">
        <w:trPr>
          <w:trHeight w:val="560"/>
          <w:jc w:val="center"/>
        </w:trPr>
        <w:tc>
          <w:tcPr>
            <w:tcW w:w="2830" w:type="dxa"/>
            <w:tcBorders>
              <w:top w:val="single" w:sz="4" w:space="0" w:color="auto"/>
              <w:left w:val="single" w:sz="4" w:space="0" w:color="auto"/>
              <w:bottom w:val="single" w:sz="4" w:space="0" w:color="auto"/>
              <w:right w:val="single" w:sz="4" w:space="0" w:color="auto"/>
            </w:tcBorders>
            <w:vAlign w:val="center"/>
            <w:hideMark/>
          </w:tcPr>
          <w:p w:rsidR="00E26C22" w:rsidRDefault="00E26C2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rPr>
              <w:t>煤炭价格（元/吨）</w:t>
            </w:r>
          </w:p>
        </w:tc>
        <w:tc>
          <w:tcPr>
            <w:tcW w:w="3089" w:type="dxa"/>
            <w:tcBorders>
              <w:top w:val="single" w:sz="4" w:space="0" w:color="auto"/>
              <w:left w:val="nil"/>
              <w:bottom w:val="single" w:sz="4" w:space="0" w:color="auto"/>
              <w:right w:val="single" w:sz="4" w:space="0" w:color="auto"/>
            </w:tcBorders>
            <w:vAlign w:val="center"/>
            <w:hideMark/>
          </w:tcPr>
          <w:p w:rsidR="00E26C22" w:rsidRDefault="00E26C22">
            <w:pPr>
              <w:widowControl/>
              <w:jc w:val="center"/>
              <w:rPr>
                <w:rFonts w:ascii="仿宋" w:eastAsia="仿宋" w:hAnsi="仿宋" w:cs="宋体"/>
                <w:b/>
                <w:bCs/>
                <w:color w:val="000000"/>
                <w:kern w:val="0"/>
                <w:sz w:val="22"/>
              </w:rPr>
            </w:pPr>
            <w:r>
              <w:rPr>
                <w:rFonts w:ascii="仿宋" w:eastAsia="仿宋" w:hAnsi="仿宋" w:cs="宋体" w:hint="eastAsia"/>
                <w:b/>
                <w:bCs/>
                <w:color w:val="000000"/>
                <w:kern w:val="0"/>
                <w:sz w:val="22"/>
              </w:rPr>
              <w:t>蒸汽价格（元/吨）</w:t>
            </w:r>
          </w:p>
        </w:tc>
        <w:tc>
          <w:tcPr>
            <w:tcW w:w="1447" w:type="dxa"/>
            <w:tcBorders>
              <w:top w:val="single" w:sz="4" w:space="0" w:color="auto"/>
              <w:left w:val="nil"/>
              <w:bottom w:val="single" w:sz="4" w:space="0" w:color="auto"/>
              <w:right w:val="single" w:sz="4" w:space="0" w:color="auto"/>
            </w:tcBorders>
            <w:vAlign w:val="center"/>
            <w:hideMark/>
          </w:tcPr>
          <w:p w:rsidR="00E26C22" w:rsidRDefault="00E26C22">
            <w:pPr>
              <w:widowControl/>
              <w:jc w:val="center"/>
              <w:rPr>
                <w:rFonts w:ascii="仿宋" w:eastAsia="仿宋" w:hAnsi="仿宋" w:cs="宋体"/>
                <w:b/>
                <w:bCs/>
                <w:color w:val="000000"/>
                <w:kern w:val="0"/>
                <w:sz w:val="22"/>
              </w:rPr>
            </w:pPr>
            <w:r>
              <w:rPr>
                <w:rFonts w:ascii="仿宋" w:eastAsia="仿宋" w:hAnsi="仿宋" w:cs="宋体" w:hint="eastAsia"/>
                <w:b/>
                <w:bCs/>
                <w:color w:val="000000"/>
                <w:kern w:val="0"/>
                <w:sz w:val="22"/>
              </w:rPr>
              <w:t>备注</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314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144.60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364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152.40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414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160.20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464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168.00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514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175.80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564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183.60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614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191.40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664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199.20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714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207.00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764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214.80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814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222.60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864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230.40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914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238.20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964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246.00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1,014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253.80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b/>
                <w:bCs/>
                <w:color w:val="000000" w:themeColor="text1"/>
                <w:kern w:val="0"/>
                <w:sz w:val="22"/>
              </w:rPr>
            </w:pPr>
            <w:r>
              <w:rPr>
                <w:rFonts w:ascii="仿宋" w:eastAsia="仿宋" w:hAnsi="仿宋" w:hint="eastAsia"/>
                <w:b/>
                <w:bCs/>
                <w:color w:val="000000" w:themeColor="text1"/>
                <w:kern w:val="0"/>
                <w:sz w:val="22"/>
              </w:rPr>
              <w:t>1,064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b/>
                <w:bCs/>
                <w:color w:val="000000" w:themeColor="text1"/>
                <w:kern w:val="0"/>
                <w:sz w:val="22"/>
              </w:rPr>
            </w:pPr>
            <w:r>
              <w:rPr>
                <w:rFonts w:ascii="仿宋" w:eastAsia="仿宋" w:hAnsi="仿宋" w:hint="eastAsia"/>
                <w:b/>
                <w:bCs/>
                <w:color w:val="000000" w:themeColor="text1"/>
                <w:kern w:val="0"/>
                <w:sz w:val="22"/>
              </w:rPr>
              <w:t>261.60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themeColor="text1"/>
                <w:kern w:val="0"/>
                <w:sz w:val="22"/>
              </w:rPr>
            </w:pPr>
            <w:r>
              <w:rPr>
                <w:rFonts w:ascii="仿宋" w:eastAsia="仿宋" w:hAnsi="仿宋" w:cs="宋体" w:hint="eastAsia"/>
                <w:color w:val="000000" w:themeColor="text1"/>
                <w:kern w:val="0"/>
                <w:sz w:val="22"/>
              </w:rPr>
              <w:t>联动基准点</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1,114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267.50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1,164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273.40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1,214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279.30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1,264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285.20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1,314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291.10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1,364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297.00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1,414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302.90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1,464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308.80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1,514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314.70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1,564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320.60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1,614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326.50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1,664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332.40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1,714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338.30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1,764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344.20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1,814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350.10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1,864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356.00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1,914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361.90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1,964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367.80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r w:rsidR="00E26C22" w:rsidTr="00E26C22">
        <w:trPr>
          <w:trHeight w:val="280"/>
          <w:jc w:val="center"/>
        </w:trPr>
        <w:tc>
          <w:tcPr>
            <w:tcW w:w="2830" w:type="dxa"/>
            <w:tcBorders>
              <w:top w:val="nil"/>
              <w:left w:val="single" w:sz="4" w:space="0" w:color="auto"/>
              <w:bottom w:val="single" w:sz="4" w:space="0" w:color="auto"/>
              <w:right w:val="single" w:sz="4" w:space="0" w:color="auto"/>
            </w:tcBorders>
            <w:noWrap/>
            <w:vAlign w:val="center"/>
            <w:hideMark/>
          </w:tcPr>
          <w:p w:rsidR="00E26C22" w:rsidRDefault="00E26C22">
            <w:pPr>
              <w:widowControl/>
              <w:jc w:val="center"/>
              <w:rPr>
                <w:rFonts w:ascii="仿宋" w:eastAsia="仿宋" w:hAnsi="仿宋" w:cstheme="minorBidi"/>
                <w:color w:val="000000"/>
                <w:kern w:val="0"/>
                <w:sz w:val="22"/>
              </w:rPr>
            </w:pPr>
            <w:r>
              <w:rPr>
                <w:rFonts w:ascii="仿宋" w:eastAsia="仿宋" w:hAnsi="仿宋" w:hint="eastAsia"/>
                <w:color w:val="000000"/>
                <w:kern w:val="0"/>
                <w:sz w:val="22"/>
              </w:rPr>
              <w:t>2,014</w:t>
            </w:r>
          </w:p>
        </w:tc>
        <w:tc>
          <w:tcPr>
            <w:tcW w:w="3089"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olor w:val="000000"/>
                <w:kern w:val="0"/>
                <w:sz w:val="22"/>
              </w:rPr>
            </w:pPr>
            <w:r>
              <w:rPr>
                <w:rFonts w:ascii="仿宋" w:eastAsia="仿宋" w:hAnsi="仿宋" w:hint="eastAsia"/>
                <w:color w:val="000000"/>
                <w:kern w:val="0"/>
                <w:sz w:val="22"/>
              </w:rPr>
              <w:t>373.70</w:t>
            </w:r>
          </w:p>
        </w:tc>
        <w:tc>
          <w:tcPr>
            <w:tcW w:w="1447" w:type="dxa"/>
            <w:tcBorders>
              <w:top w:val="nil"/>
              <w:left w:val="nil"/>
              <w:bottom w:val="single" w:sz="4" w:space="0" w:color="auto"/>
              <w:right w:val="single" w:sz="4" w:space="0" w:color="auto"/>
            </w:tcBorders>
            <w:noWrap/>
            <w:vAlign w:val="center"/>
            <w:hideMark/>
          </w:tcPr>
          <w:p w:rsidR="00E26C22" w:rsidRDefault="00E26C22">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w:t>
            </w:r>
          </w:p>
        </w:tc>
      </w:tr>
    </w:tbl>
    <w:p w:rsidR="00E26C22" w:rsidRDefault="00E26C22" w:rsidP="00E26C22">
      <w:pPr>
        <w:widowControl/>
        <w:adjustRightInd w:val="0"/>
        <w:snapToGrid w:val="0"/>
        <w:spacing w:line="400" w:lineRule="exact"/>
        <w:jc w:val="left"/>
        <w:rPr>
          <w:rFonts w:ascii="仿宋" w:eastAsia="仿宋" w:hAnsi="仿宋" w:cstheme="minorBidi"/>
          <w:szCs w:val="21"/>
        </w:rPr>
      </w:pPr>
      <w:r>
        <w:rPr>
          <w:rFonts w:ascii="仿宋" w:eastAsia="仿宋" w:hAnsi="仿宋" w:hint="eastAsia"/>
          <w:szCs w:val="21"/>
        </w:rPr>
        <w:t>说明：1．上表中的基准点以煤炭含税价格1064元/吨，蒸汽价格261.6元/吨（含9%增值税和3%利润率）；</w:t>
      </w:r>
    </w:p>
    <w:p w:rsidR="00E26C22" w:rsidRDefault="00E26C22" w:rsidP="00E26C22">
      <w:pPr>
        <w:widowControl/>
        <w:adjustRightInd w:val="0"/>
        <w:snapToGrid w:val="0"/>
        <w:spacing w:line="400" w:lineRule="exact"/>
        <w:jc w:val="left"/>
        <w:rPr>
          <w:rFonts w:ascii="仿宋" w:eastAsia="仿宋" w:hAnsi="仿宋"/>
          <w:szCs w:val="21"/>
        </w:rPr>
      </w:pPr>
      <w:r>
        <w:rPr>
          <w:rFonts w:ascii="仿宋" w:eastAsia="仿宋" w:hAnsi="仿宋" w:hint="eastAsia"/>
          <w:szCs w:val="21"/>
        </w:rPr>
        <w:t>2．煤热价格联动的相应关系：每6.4吨蒸汽消耗1吨煤炭，当煤炭价格高于基准价时，25%由热电企业自行消化，当煤炭价格每上涨或下降50—100元/吨时，相应上调或下降蒸汽价格5.9-11.8元/吨；当煤炭价格低于基准价时，热电企业无需自行消化，当煤炭价格每上涨或下降50—100元/吨时，相应上调或下降蒸汽价格7.8-15.6元/吨。</w:t>
      </w:r>
    </w:p>
    <w:p w:rsidR="00E26C22" w:rsidRDefault="00E26C22" w:rsidP="00E26C22">
      <w:pPr>
        <w:widowControl/>
        <w:jc w:val="left"/>
        <w:rPr>
          <w:rFonts w:ascii="仿宋" w:eastAsia="仿宋" w:hAnsi="仿宋"/>
          <w:sz w:val="32"/>
          <w:szCs w:val="32"/>
        </w:rPr>
      </w:pPr>
    </w:p>
    <w:p w:rsidR="00E26C22" w:rsidRDefault="00E26C22" w:rsidP="00E26C22">
      <w:pPr>
        <w:adjustRightInd w:val="0"/>
        <w:snapToGrid w:val="0"/>
        <w:spacing w:line="580" w:lineRule="exact"/>
        <w:ind w:firstLineChars="200" w:firstLine="640"/>
        <w:jc w:val="center"/>
        <w:rPr>
          <w:rFonts w:ascii="仿宋" w:eastAsia="仿宋" w:hAnsi="仿宋"/>
          <w:sz w:val="32"/>
          <w:szCs w:val="32"/>
        </w:rPr>
      </w:pPr>
    </w:p>
    <w:p w:rsidR="00E26C22" w:rsidRDefault="00E26C22" w:rsidP="00E26C22">
      <w:pPr>
        <w:widowControl/>
        <w:jc w:val="left"/>
        <w:rPr>
          <w:rFonts w:ascii="仿宋" w:eastAsia="仿宋" w:hAnsi="仿宋"/>
          <w:sz w:val="32"/>
          <w:szCs w:val="32"/>
        </w:rPr>
      </w:pPr>
    </w:p>
    <w:sectPr w:rsidR="00E26C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1FE" w:rsidRDefault="004871FE" w:rsidP="0069411B">
      <w:r>
        <w:separator/>
      </w:r>
    </w:p>
  </w:endnote>
  <w:endnote w:type="continuationSeparator" w:id="0">
    <w:p w:rsidR="004871FE" w:rsidRDefault="004871FE" w:rsidP="00694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1FE" w:rsidRDefault="004871FE" w:rsidP="0069411B">
      <w:r>
        <w:separator/>
      </w:r>
    </w:p>
  </w:footnote>
  <w:footnote w:type="continuationSeparator" w:id="0">
    <w:p w:rsidR="004871FE" w:rsidRDefault="004871FE" w:rsidP="006941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0A6"/>
    <w:rsid w:val="000C573B"/>
    <w:rsid w:val="00154B8F"/>
    <w:rsid w:val="001652B0"/>
    <w:rsid w:val="001F1A16"/>
    <w:rsid w:val="0021217C"/>
    <w:rsid w:val="002C4213"/>
    <w:rsid w:val="00324068"/>
    <w:rsid w:val="003B0061"/>
    <w:rsid w:val="003E0A90"/>
    <w:rsid w:val="0045777A"/>
    <w:rsid w:val="004871FE"/>
    <w:rsid w:val="004F6CB2"/>
    <w:rsid w:val="005F4957"/>
    <w:rsid w:val="006360F8"/>
    <w:rsid w:val="0069411B"/>
    <w:rsid w:val="0072129D"/>
    <w:rsid w:val="00756622"/>
    <w:rsid w:val="007936BD"/>
    <w:rsid w:val="0084261C"/>
    <w:rsid w:val="00940BF7"/>
    <w:rsid w:val="009B2C8D"/>
    <w:rsid w:val="009C47ED"/>
    <w:rsid w:val="00B206CE"/>
    <w:rsid w:val="00B77DCB"/>
    <w:rsid w:val="00BA70A6"/>
    <w:rsid w:val="00BB61BD"/>
    <w:rsid w:val="00C9236F"/>
    <w:rsid w:val="00D95390"/>
    <w:rsid w:val="00E26C22"/>
    <w:rsid w:val="00F25329"/>
    <w:rsid w:val="00F83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chartTrackingRefBased/>
  <w15:docId w15:val="{FA988D35-7388-4C62-9627-F57733BC5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411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411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9411B"/>
    <w:rPr>
      <w:sz w:val="18"/>
      <w:szCs w:val="18"/>
    </w:rPr>
  </w:style>
  <w:style w:type="paragraph" w:styleId="a4">
    <w:name w:val="footer"/>
    <w:basedOn w:val="a"/>
    <w:link w:val="Char0"/>
    <w:uiPriority w:val="99"/>
    <w:unhideWhenUsed/>
    <w:rsid w:val="0069411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9411B"/>
    <w:rPr>
      <w:sz w:val="18"/>
      <w:szCs w:val="18"/>
    </w:rPr>
  </w:style>
  <w:style w:type="paragraph" w:styleId="a5">
    <w:name w:val="Normal (Web)"/>
    <w:basedOn w:val="a"/>
    <w:uiPriority w:val="99"/>
    <w:semiHidden/>
    <w:unhideWhenUsed/>
    <w:rsid w:val="0069411B"/>
    <w:pPr>
      <w:widowControl/>
      <w:spacing w:before="100" w:beforeAutospacing="1" w:after="100" w:afterAutospacing="1"/>
      <w:jc w:val="left"/>
    </w:pPr>
    <w:rPr>
      <w:rFonts w:ascii="宋体" w:hAnsi="宋体" w:cs="宋体"/>
      <w:kern w:val="0"/>
      <w:sz w:val="24"/>
    </w:rPr>
  </w:style>
  <w:style w:type="paragraph" w:styleId="a6">
    <w:name w:val="Balloon Text"/>
    <w:basedOn w:val="a"/>
    <w:link w:val="Char1"/>
    <w:uiPriority w:val="99"/>
    <w:semiHidden/>
    <w:unhideWhenUsed/>
    <w:rsid w:val="0069411B"/>
    <w:rPr>
      <w:sz w:val="18"/>
      <w:szCs w:val="18"/>
    </w:rPr>
  </w:style>
  <w:style w:type="character" w:customStyle="1" w:styleId="Char1">
    <w:name w:val="批注框文本 Char"/>
    <w:basedOn w:val="a0"/>
    <w:link w:val="a6"/>
    <w:uiPriority w:val="99"/>
    <w:semiHidden/>
    <w:rsid w:val="0069411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7285309">
      <w:bodyDiv w:val="1"/>
      <w:marLeft w:val="0"/>
      <w:marRight w:val="0"/>
      <w:marTop w:val="0"/>
      <w:marBottom w:val="0"/>
      <w:divBdr>
        <w:top w:val="none" w:sz="0" w:space="0" w:color="auto"/>
        <w:left w:val="none" w:sz="0" w:space="0" w:color="auto"/>
        <w:bottom w:val="none" w:sz="0" w:space="0" w:color="auto"/>
        <w:right w:val="none" w:sz="0" w:space="0" w:color="auto"/>
      </w:divBdr>
    </w:div>
    <w:div w:id="574127753">
      <w:bodyDiv w:val="1"/>
      <w:marLeft w:val="0"/>
      <w:marRight w:val="0"/>
      <w:marTop w:val="0"/>
      <w:marBottom w:val="0"/>
      <w:divBdr>
        <w:top w:val="none" w:sz="0" w:space="0" w:color="auto"/>
        <w:left w:val="none" w:sz="0" w:space="0" w:color="auto"/>
        <w:bottom w:val="none" w:sz="0" w:space="0" w:color="auto"/>
        <w:right w:val="none" w:sz="0" w:space="0" w:color="auto"/>
      </w:divBdr>
    </w:div>
    <w:div w:id="1320311141">
      <w:bodyDiv w:val="1"/>
      <w:marLeft w:val="0"/>
      <w:marRight w:val="0"/>
      <w:marTop w:val="0"/>
      <w:marBottom w:val="0"/>
      <w:divBdr>
        <w:top w:val="none" w:sz="0" w:space="0" w:color="auto"/>
        <w:left w:val="none" w:sz="0" w:space="0" w:color="auto"/>
        <w:bottom w:val="none" w:sz="0" w:space="0" w:color="auto"/>
        <w:right w:val="none" w:sz="0" w:space="0" w:color="auto"/>
      </w:divBdr>
    </w:div>
    <w:div w:id="2027054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4</Pages>
  <Words>220</Words>
  <Characters>1260</Characters>
  <Application>Microsoft Office Word</Application>
  <DocSecurity>0</DocSecurity>
  <Lines>10</Lines>
  <Paragraphs>2</Paragraphs>
  <ScaleCrop>false</ScaleCrop>
  <Company>P R C</Company>
  <LinksUpToDate>false</LinksUpToDate>
  <CharactersWithSpaces>1478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赵淼</dc:creator>
  <cp:keywords/>
  <dc:description/>
  <cp:lastModifiedBy>Administrator</cp:lastModifiedBy>
  <cp:revision>23</cp:revision>
  <cp:lastPrinted>2025-02-12T01:08:00Z</cp:lastPrinted>
  <dcterms:created xsi:type="dcterms:W3CDTF">2025-02-12T01:08:00Z</dcterms:created>
  <dcterms:modified xsi:type="dcterms:W3CDTF">2025-10-28T09:04:00Z</dcterms:modified>
</cp:coreProperties>
</file>